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560" w:type="dxa"/>
        <w:jc w:val="center"/>
        <w:tblLayout w:type="fixed"/>
        <w:tblLook w:val="04A0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bookmarkStart w:id="0" w:name="_GoBack"/>
            <w:bookmarkEnd w:id="0"/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C871A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январь - март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</w:t>
            </w:r>
            <w:r w:rsidR="00C871AB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C871AB" w:rsidRDefault="00C871AB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Криволукского МО МКУ КДИЦ «Селяночка»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871AB" w:rsidRPr="006F1362" w:rsidTr="00C871AB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  <w:vAlign w:val="center"/>
          </w:tcPr>
          <w:p w:rsidR="00C871AB" w:rsidRPr="009747CD" w:rsidRDefault="00C871AB" w:rsidP="00C871AB">
            <w:pPr>
              <w:pStyle w:val="ad"/>
              <w:rPr>
                <w:sz w:val="28"/>
                <w:szCs w:val="28"/>
              </w:rPr>
            </w:pPr>
            <w:r>
              <w:rPr>
                <w:rStyle w:val="ae"/>
                <w:sz w:val="28"/>
                <w:szCs w:val="28"/>
              </w:rPr>
              <w:t>«Нитка, петелька, крючок»</w:t>
            </w:r>
          </w:p>
        </w:tc>
        <w:tc>
          <w:tcPr>
            <w:tcW w:w="3450" w:type="dxa"/>
            <w:shd w:val="clear" w:color="auto" w:fill="FFF5CE"/>
            <w:vAlign w:val="center"/>
          </w:tcPr>
          <w:p w:rsidR="00C871AB" w:rsidRPr="009747CD" w:rsidRDefault="00C871AB" w:rsidP="00C871AB">
            <w:pPr>
              <w:pStyle w:val="ad"/>
              <w:rPr>
                <w:sz w:val="28"/>
                <w:szCs w:val="28"/>
              </w:rPr>
            </w:pPr>
            <w:r w:rsidRPr="009747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МКУ КДИЦ «Селяночка» Иркутская обл., Кире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ский район,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ривая 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ка, ул. </w:t>
            </w: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д. 5</w:t>
            </w: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10-20 января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AB" w:rsidRPr="006F1362" w:rsidRDefault="00C871AB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AB" w:rsidRPr="006F1362" w:rsidRDefault="00C871AB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C871AB" w:rsidRPr="006F1362" w:rsidRDefault="00C871AB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C871AB" w:rsidRPr="006F1362" w:rsidRDefault="00C871AB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C871AB" w:rsidRPr="006F1362" w:rsidRDefault="00C871AB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C871A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871A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1A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C871AB" w:rsidRPr="006F1362" w:rsidRDefault="00C871A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C871AB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C871AB" w:rsidRPr="006F1362" w:rsidRDefault="00C871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C871AB" w:rsidRPr="006F1362" w:rsidRDefault="00C871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C871AB" w:rsidRPr="006F1362" w:rsidRDefault="00C871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C871AB" w:rsidRPr="006F1362" w:rsidRDefault="00C871AB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871AB" w:rsidRPr="006F1362" w:rsidRDefault="00C871A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C871A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 w:rsidTr="00473499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B7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дедушки Корнея»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E173B7" w:rsidRPr="009747CD" w:rsidRDefault="00E173B7" w:rsidP="00CE3BCA">
            <w:pPr>
              <w:pStyle w:val="ad"/>
              <w:rPr>
                <w:sz w:val="28"/>
                <w:szCs w:val="28"/>
              </w:rPr>
            </w:pPr>
            <w:r w:rsidRPr="009747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МКУ КДИЦ «Селяночка» Иркутская обл., Кире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ривая 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ка, ул. </w:t>
            </w: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д.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1-7 марта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 w:rsidTr="0010385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1AB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французский романтик»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E173B7" w:rsidRPr="009747CD" w:rsidRDefault="00E173B7" w:rsidP="00CE3BCA">
            <w:pPr>
              <w:pStyle w:val="ad"/>
              <w:rPr>
                <w:sz w:val="28"/>
                <w:szCs w:val="28"/>
              </w:rPr>
            </w:pPr>
            <w:r w:rsidRPr="009747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МКУ КДИЦ «Селяночка» Иркутская обл., Кире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ривая 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ка, ул. </w:t>
            </w: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д.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1-15 февраля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 w:rsidTr="00732D49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B7">
              <w:rPr>
                <w:rFonts w:ascii="Times New Roman" w:eastAsia="Calibri" w:hAnsi="Times New Roman" w:cs="Times New Roman"/>
                <w:sz w:val="24"/>
                <w:szCs w:val="24"/>
              </w:rPr>
              <w:t>«Великий французский романтик»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E173B7" w:rsidRPr="009747CD" w:rsidRDefault="00E173B7" w:rsidP="00CE3BCA">
            <w:pPr>
              <w:pStyle w:val="ad"/>
              <w:rPr>
                <w:sz w:val="28"/>
                <w:szCs w:val="28"/>
              </w:rPr>
            </w:pPr>
            <w:r w:rsidRPr="009747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МКУ КДИЦ «Селяночка» Иркутская обл., Кире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 район,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ривая 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ка, ул. </w:t>
            </w: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д.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1-15  февраля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E173B7" w:rsidRPr="006F1362" w:rsidRDefault="00E173B7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675" cy="714375"/>
                  <wp:effectExtent l="0" t="0" r="9525" b="9525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E173B7" w:rsidRPr="006F1362" w:rsidRDefault="00E173B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E173B7" w:rsidRPr="006F1362" w:rsidRDefault="00E173B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E173B7" w:rsidRPr="006F1362" w:rsidRDefault="00E173B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E173B7" w:rsidRPr="006F1362" w:rsidRDefault="00E173B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E173B7" w:rsidRPr="006F1362" w:rsidRDefault="00E173B7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E173B7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173B7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173B7" w:rsidRPr="006F1362" w:rsidRDefault="00E173B7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704850" cy="704850"/>
                  <wp:effectExtent l="0" t="0" r="0" b="0"/>
                  <wp:docPr id="2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E173B7" w:rsidRPr="006F1362" w:rsidRDefault="00E173B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формирование базовых знаний о кинофильмах и деятелях кино; </w:t>
            </w:r>
          </w:p>
          <w:p w:rsidR="00E173B7" w:rsidRPr="006F1362" w:rsidRDefault="00E173B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E173B7" w:rsidRPr="006F1362" w:rsidRDefault="00E173B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E173B7" w:rsidRPr="006F1362" w:rsidRDefault="00E173B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развитие эрудиции на основе просмотра рекомендованных кинопроизведений и посещения в своем регионе </w:t>
            </w: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>организаций, связанных с индустрией кино или телевидения;</w:t>
            </w:r>
          </w:p>
          <w:p w:rsidR="00E173B7" w:rsidRPr="006F1362" w:rsidRDefault="00E173B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E173B7" w:rsidRPr="006F1362" w:rsidRDefault="00E173B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3B7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972AF2" w:rsidRDefault="00E173B7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E173B7" w:rsidRPr="006F1362" w:rsidRDefault="00E173B7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E173B7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173B7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173B7" w:rsidRPr="00E9122B" w:rsidRDefault="00E173B7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2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E173B7" w:rsidRPr="006F1362" w:rsidRDefault="00E173B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E173B7" w:rsidRPr="006F1362" w:rsidRDefault="00E173B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E173B7" w:rsidRPr="006F1362" w:rsidRDefault="00E173B7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E173B7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E173B7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E173B7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173B7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E173B7" w:rsidRDefault="00E173B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E173B7" w:rsidRDefault="00E173B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173B7" w:rsidRDefault="00E173B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173B7" w:rsidRPr="006F1362" w:rsidRDefault="00E173B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2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E173B7" w:rsidRPr="006F1362" w:rsidRDefault="00E173B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E173B7" w:rsidRPr="006F1362" w:rsidRDefault="00E173B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E173B7" w:rsidRPr="006F1362" w:rsidRDefault="00E173B7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E173B7" w:rsidRPr="006F1362" w:rsidRDefault="00E173B7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B7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173B7" w:rsidRPr="006F1362" w:rsidRDefault="00E173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2B9B"/>
    <w:rsid w:val="0000212C"/>
    <w:rsid w:val="002D5CF9"/>
    <w:rsid w:val="002E2B9B"/>
    <w:rsid w:val="005A29D5"/>
    <w:rsid w:val="006F1362"/>
    <w:rsid w:val="00972AF2"/>
    <w:rsid w:val="00BF573E"/>
    <w:rsid w:val="00C047B2"/>
    <w:rsid w:val="00C871AB"/>
    <w:rsid w:val="00E173B7"/>
    <w:rsid w:val="00E9122B"/>
    <w:rsid w:val="00F445A9"/>
    <w:rsid w:val="00F8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871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871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KDIC</cp:lastModifiedBy>
  <cp:revision>2</cp:revision>
  <dcterms:created xsi:type="dcterms:W3CDTF">2021-12-24T03:11:00Z</dcterms:created>
  <dcterms:modified xsi:type="dcterms:W3CDTF">2021-12-24T03:11:00Z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